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BF9" w:rsidRPr="00BE11B6" w:rsidRDefault="00A35153" w:rsidP="00A35153">
      <w:pPr>
        <w:rPr>
          <w:rFonts w:cs="Calibri-Bold"/>
          <w:b/>
          <w:bCs/>
          <w:color w:val="000000"/>
        </w:rPr>
      </w:pPr>
      <w:r w:rsidRPr="00BE11B6">
        <w:rPr>
          <w:rFonts w:cs="Calibri-Bold"/>
          <w:b/>
          <w:bCs/>
          <w:color w:val="000000"/>
        </w:rPr>
        <w:t>FACT SHEET</w:t>
      </w:r>
    </w:p>
    <w:p w:rsidR="00A35153" w:rsidRPr="00BE11B6" w:rsidRDefault="00A35153" w:rsidP="00A35153">
      <w:pPr>
        <w:autoSpaceDE w:val="0"/>
        <w:autoSpaceDN w:val="0"/>
        <w:adjustRightInd w:val="0"/>
        <w:spacing w:after="0" w:line="240" w:lineRule="auto"/>
        <w:jc w:val="center"/>
        <w:rPr>
          <w:rFonts w:cs="Calibri-Bold"/>
          <w:b/>
          <w:bCs/>
          <w:color w:val="221E1F"/>
          <w:sz w:val="24"/>
          <w:szCs w:val="24"/>
        </w:rPr>
      </w:pPr>
      <w:r w:rsidRPr="00BE11B6">
        <w:rPr>
          <w:rFonts w:cs="Calibri-Bold"/>
          <w:b/>
          <w:bCs/>
          <w:color w:val="221E1F"/>
          <w:sz w:val="24"/>
          <w:szCs w:val="24"/>
        </w:rPr>
        <w:t xml:space="preserve">The </w:t>
      </w:r>
      <w:r w:rsidRPr="00BE11B6">
        <w:rPr>
          <w:rFonts w:cs="Calibri-BoldItalic"/>
          <w:b/>
          <w:bCs/>
          <w:i/>
          <w:iCs/>
          <w:color w:val="221E1F"/>
          <w:sz w:val="24"/>
          <w:szCs w:val="24"/>
        </w:rPr>
        <w:t xml:space="preserve">Environments </w:t>
      </w:r>
      <w:proofErr w:type="gramStart"/>
      <w:r w:rsidRPr="00BE11B6">
        <w:rPr>
          <w:rFonts w:cs="Calibri-BoldItalic"/>
          <w:b/>
          <w:bCs/>
          <w:i/>
          <w:iCs/>
          <w:color w:val="221E1F"/>
          <w:sz w:val="24"/>
          <w:szCs w:val="24"/>
        </w:rPr>
        <w:t>For</w:t>
      </w:r>
      <w:proofErr w:type="gramEnd"/>
      <w:r w:rsidRPr="00BE11B6">
        <w:rPr>
          <w:rFonts w:cs="Calibri-BoldItalic"/>
          <w:b/>
          <w:bCs/>
          <w:i/>
          <w:iCs/>
          <w:color w:val="221E1F"/>
          <w:sz w:val="24"/>
          <w:szCs w:val="24"/>
        </w:rPr>
        <w:t xml:space="preserve"> Living</w:t>
      </w:r>
      <w:r w:rsidRPr="00BE11B6">
        <w:rPr>
          <w:rFonts w:cs="Calibri-Bold"/>
          <w:b/>
          <w:bCs/>
          <w:color w:val="221E1F"/>
          <w:sz w:val="24"/>
          <w:szCs w:val="24"/>
        </w:rPr>
        <w:t>® Program and</w:t>
      </w:r>
    </w:p>
    <w:p w:rsidR="00A35153" w:rsidRPr="00BE11B6" w:rsidRDefault="00A35153" w:rsidP="00A35153">
      <w:pPr>
        <w:jc w:val="center"/>
        <w:rPr>
          <w:rFonts w:cs="Calibri-Bold"/>
          <w:b/>
          <w:bCs/>
          <w:color w:val="221E1F"/>
          <w:sz w:val="24"/>
          <w:szCs w:val="24"/>
        </w:rPr>
      </w:pPr>
      <w:r w:rsidRPr="00BE11B6">
        <w:rPr>
          <w:rFonts w:cs="Calibri-BoldItalic"/>
          <w:b/>
          <w:bCs/>
          <w:i/>
          <w:iCs/>
          <w:color w:val="221E1F"/>
          <w:sz w:val="24"/>
          <w:szCs w:val="24"/>
        </w:rPr>
        <w:t xml:space="preserve">Environments </w:t>
      </w:r>
      <w:proofErr w:type="gramStart"/>
      <w:r w:rsidRPr="00BE11B6">
        <w:rPr>
          <w:rFonts w:cs="Calibri-BoldItalic"/>
          <w:b/>
          <w:bCs/>
          <w:i/>
          <w:iCs/>
          <w:color w:val="221E1F"/>
          <w:sz w:val="24"/>
          <w:szCs w:val="24"/>
        </w:rPr>
        <w:t>For</w:t>
      </w:r>
      <w:proofErr w:type="gramEnd"/>
      <w:r w:rsidRPr="00BE11B6">
        <w:rPr>
          <w:rFonts w:cs="Calibri-BoldItalic"/>
          <w:b/>
          <w:bCs/>
          <w:i/>
          <w:iCs/>
          <w:color w:val="221E1F"/>
          <w:sz w:val="24"/>
          <w:szCs w:val="24"/>
        </w:rPr>
        <w:t xml:space="preserve"> Living Certified Green</w:t>
      </w:r>
      <w:r w:rsidRPr="00BE11B6">
        <w:rPr>
          <w:rFonts w:cs="Calibri-Bold"/>
          <w:b/>
          <w:bCs/>
          <w:color w:val="221E1F"/>
          <w:sz w:val="24"/>
          <w:szCs w:val="24"/>
        </w:rPr>
        <w:t>® Program</w:t>
      </w:r>
    </w:p>
    <w:tbl>
      <w:tblPr>
        <w:tblStyle w:val="TableGrid"/>
        <w:tblW w:w="0" w:type="auto"/>
        <w:jc w:val="center"/>
        <w:tblLook w:val="04A0" w:firstRow="1" w:lastRow="0" w:firstColumn="1" w:lastColumn="0" w:noHBand="0" w:noVBand="1"/>
      </w:tblPr>
      <w:tblGrid>
        <w:gridCol w:w="1728"/>
        <w:gridCol w:w="7848"/>
      </w:tblGrid>
      <w:tr w:rsidR="00A35153" w:rsidRPr="00BE11B6" w:rsidTr="00A35153">
        <w:trPr>
          <w:jc w:val="center"/>
        </w:trPr>
        <w:tc>
          <w:tcPr>
            <w:tcW w:w="1728" w:type="dxa"/>
          </w:tcPr>
          <w:p w:rsidR="00A35153" w:rsidRPr="00BE11B6" w:rsidRDefault="00A35153" w:rsidP="00A35153">
            <w:pPr>
              <w:rPr>
                <w:b/>
              </w:rPr>
            </w:pPr>
            <w:r w:rsidRPr="00BE11B6">
              <w:rPr>
                <w:b/>
              </w:rPr>
              <w:t>Description</w:t>
            </w:r>
          </w:p>
        </w:tc>
        <w:tc>
          <w:tcPr>
            <w:tcW w:w="7848" w:type="dxa"/>
          </w:tcPr>
          <w:p w:rsidR="00A35153" w:rsidRPr="00BE11B6" w:rsidRDefault="00A35153" w:rsidP="00A35153">
            <w:r w:rsidRPr="00BE11B6">
              <w:t xml:space="preserve">The </w:t>
            </w:r>
            <w:r w:rsidRPr="00BE11B6">
              <w:rPr>
                <w:i/>
              </w:rPr>
              <w:t>Environments For Living®</w:t>
            </w:r>
            <w:r w:rsidRPr="00BE11B6">
              <w:t xml:space="preserve"> program is offered by TopBuild Home Services, a TopBuild company. It is the only national, turnkey program of its kind that provides a complete package of services to builders in applying the principles of building science to new home construction. By focusing on the home as a system of systems, the program helps builders construct homes that are more energy efficient, comfortable and durable than conventional code‐built homes.</w:t>
            </w:r>
          </w:p>
          <w:p w:rsidR="00A35153" w:rsidRPr="00BE11B6" w:rsidRDefault="00A35153" w:rsidP="00A35153"/>
          <w:p w:rsidR="00A35153" w:rsidRPr="00BE11B6" w:rsidRDefault="00A35153" w:rsidP="00A35153">
            <w:r w:rsidRPr="00BE11B6">
              <w:t xml:space="preserve">The </w:t>
            </w:r>
            <w:r w:rsidRPr="00BE11B6">
              <w:rPr>
                <w:i/>
              </w:rPr>
              <w:t>Environments For Living</w:t>
            </w:r>
            <w:r w:rsidRPr="00BE11B6">
              <w:t xml:space="preserve"> program is prescriptive and performance‐based and does not require builders to use any particular manufacturer's product. Builders must follow specific requirements for tight construction, fresh air ventilation, improved thermal systems, rightsized HVAC equipment, air pressure balancing, internal moisture management and combustion safety.</w:t>
            </w:r>
          </w:p>
          <w:p w:rsidR="00A35153" w:rsidRPr="00BE11B6" w:rsidRDefault="00A35153" w:rsidP="00A35153"/>
          <w:p w:rsidR="00A35153" w:rsidRPr="00BE11B6" w:rsidRDefault="00A35153" w:rsidP="00A35153">
            <w:r w:rsidRPr="00BE11B6">
              <w:t xml:space="preserve">The </w:t>
            </w:r>
            <w:r w:rsidRPr="00BE11B6">
              <w:rPr>
                <w:i/>
              </w:rPr>
              <w:t>Environments For Living Certified Green</w:t>
            </w:r>
            <w:r w:rsidRPr="00BE11B6">
              <w:t xml:space="preserve"> program adds requirements for indoor water conservation and lighting and appliance efficiency, for enhanced homeowner and environmental benefits.</w:t>
            </w:r>
          </w:p>
        </w:tc>
      </w:tr>
      <w:tr w:rsidR="00A35153" w:rsidRPr="00BE11B6" w:rsidTr="00A35153">
        <w:trPr>
          <w:jc w:val="center"/>
        </w:trPr>
        <w:tc>
          <w:tcPr>
            <w:tcW w:w="1728" w:type="dxa"/>
          </w:tcPr>
          <w:p w:rsidR="00A35153" w:rsidRPr="00BE11B6" w:rsidRDefault="00A35153" w:rsidP="00A35153">
            <w:pPr>
              <w:rPr>
                <w:b/>
              </w:rPr>
            </w:pPr>
            <w:r w:rsidRPr="00BE11B6">
              <w:rPr>
                <w:b/>
              </w:rPr>
              <w:t>History</w:t>
            </w:r>
          </w:p>
        </w:tc>
        <w:tc>
          <w:tcPr>
            <w:tcW w:w="7848" w:type="dxa"/>
          </w:tcPr>
          <w:p w:rsidR="00A35153" w:rsidRPr="00BE11B6" w:rsidRDefault="00A35153" w:rsidP="00A35153">
            <w:r w:rsidRPr="00BE11B6">
              <w:t xml:space="preserve">Introduced in 2001, the </w:t>
            </w:r>
            <w:r w:rsidRPr="00BE11B6">
              <w:rPr>
                <w:i/>
              </w:rPr>
              <w:t>Environments For Living</w:t>
            </w:r>
            <w:r w:rsidRPr="00BE11B6">
              <w:t xml:space="preserve"> program was developed with the assistance of two of the country's leading building science companies, Advanced Energy Corporation and Building Science Corporation.</w:t>
            </w:r>
          </w:p>
          <w:p w:rsidR="00A35153" w:rsidRPr="00BE11B6" w:rsidRDefault="00A35153" w:rsidP="00A35153"/>
          <w:p w:rsidR="00A35153" w:rsidRPr="00BE11B6" w:rsidRDefault="00103F96" w:rsidP="00A35153">
            <w:r>
              <w:t>T</w:t>
            </w:r>
            <w:r w:rsidR="00A35153" w:rsidRPr="00BE11B6">
              <w:t xml:space="preserve">he </w:t>
            </w:r>
            <w:r w:rsidR="00A35153" w:rsidRPr="00BE11B6">
              <w:rPr>
                <w:i/>
              </w:rPr>
              <w:t>Environments For Living Certified Green</w:t>
            </w:r>
            <w:r w:rsidR="00A35153" w:rsidRPr="00BE11B6">
              <w:t xml:space="preserve"> program</w:t>
            </w:r>
            <w:r>
              <w:t xml:space="preserve"> was introduced in 2007</w:t>
            </w:r>
            <w:r w:rsidR="00A35153" w:rsidRPr="00BE11B6">
              <w:t xml:space="preserve">. To date, more than 180,000 homes have been constructed under the </w:t>
            </w:r>
            <w:r w:rsidR="00A35153" w:rsidRPr="00BE11B6">
              <w:rPr>
                <w:i/>
              </w:rPr>
              <w:t>Environments For Living</w:t>
            </w:r>
            <w:r w:rsidR="00A35153" w:rsidRPr="00BE11B6">
              <w:t xml:space="preserve"> banner.</w:t>
            </w:r>
          </w:p>
        </w:tc>
      </w:tr>
      <w:tr w:rsidR="00A35153" w:rsidRPr="00BE11B6" w:rsidTr="00A35153">
        <w:trPr>
          <w:jc w:val="center"/>
        </w:trPr>
        <w:tc>
          <w:tcPr>
            <w:tcW w:w="1728" w:type="dxa"/>
          </w:tcPr>
          <w:p w:rsidR="00A35153" w:rsidRPr="00BE11B6" w:rsidRDefault="00A35153" w:rsidP="00A35153">
            <w:r w:rsidRPr="00BE11B6">
              <w:rPr>
                <w:b/>
              </w:rPr>
              <w:t>Program</w:t>
            </w:r>
            <w:r w:rsidRPr="00BE11B6">
              <w:t xml:space="preserve"> </w:t>
            </w:r>
            <w:r w:rsidRPr="00BE11B6">
              <w:rPr>
                <w:b/>
              </w:rPr>
              <w:t>Levels</w:t>
            </w:r>
          </w:p>
        </w:tc>
        <w:tc>
          <w:tcPr>
            <w:tcW w:w="7848" w:type="dxa"/>
          </w:tcPr>
          <w:p w:rsidR="00A35153" w:rsidRPr="00BE11B6" w:rsidRDefault="007B78F7" w:rsidP="007B78F7">
            <w:r w:rsidRPr="00BE11B6">
              <w:t xml:space="preserve">Builders have several program options. The </w:t>
            </w:r>
            <w:r w:rsidRPr="00BE11B6">
              <w:rPr>
                <w:i/>
              </w:rPr>
              <w:t>Environments For Living Certified Green</w:t>
            </w:r>
            <w:r w:rsidRPr="00BE11B6">
              <w:t xml:space="preserve"> program is the flagship level, combining the energy and building science platform of the original program with features for enhanced homeowner and environmental benefits. The </w:t>
            </w:r>
            <w:r w:rsidRPr="00BE11B6">
              <w:rPr>
                <w:i/>
              </w:rPr>
              <w:t>Environments For Living Certified Green</w:t>
            </w:r>
            <w:r w:rsidRPr="00BE11B6">
              <w:t xml:space="preserve"> program assists builders in delivering homes that provide at least 20% household energy savings, 20% indoor water savings, and a 20% reduction in greenhouse gas emissions associated with the home. Builders may continue to participate in the original </w:t>
            </w:r>
            <w:r w:rsidRPr="00BE11B6">
              <w:rPr>
                <w:i/>
              </w:rPr>
              <w:t>Environments For Living</w:t>
            </w:r>
            <w:r w:rsidRPr="00BE11B6">
              <w:t xml:space="preserve"> program, choosing either the Gold or Platinum energy level. Each level has progressively more stringent requirements for construction and performance. The Gold energy level requires that homes perform 12% above code (2009 IECC) and may qualify for the EPA ENERGY STAR® label; the Platinum energy level requires that homes perform 18% above IECC; the Diamond energy level requires that homes perform 30% above IECC, and qualify for the U.S. Department of Energy Builder’s Challenge® program.</w:t>
            </w:r>
          </w:p>
        </w:tc>
      </w:tr>
      <w:tr w:rsidR="00A35153" w:rsidRPr="00BE11B6" w:rsidTr="00A35153">
        <w:trPr>
          <w:jc w:val="center"/>
        </w:trPr>
        <w:tc>
          <w:tcPr>
            <w:tcW w:w="1728" w:type="dxa"/>
          </w:tcPr>
          <w:p w:rsidR="00A35153" w:rsidRPr="00BE11B6" w:rsidRDefault="00A35153" w:rsidP="00A35153">
            <w:r w:rsidRPr="00BE11B6">
              <w:rPr>
                <w:b/>
              </w:rPr>
              <w:t>Limited</w:t>
            </w:r>
            <w:r w:rsidRPr="00BE11B6">
              <w:t xml:space="preserve"> </w:t>
            </w:r>
            <w:r w:rsidRPr="00BE11B6">
              <w:rPr>
                <w:b/>
              </w:rPr>
              <w:t>Guarantees*</w:t>
            </w:r>
          </w:p>
        </w:tc>
        <w:tc>
          <w:tcPr>
            <w:tcW w:w="7848" w:type="dxa"/>
          </w:tcPr>
          <w:p w:rsidR="00A35153" w:rsidRPr="00BE11B6" w:rsidRDefault="007B78F7" w:rsidP="007B78F7">
            <w:pPr>
              <w:autoSpaceDE w:val="0"/>
              <w:autoSpaceDN w:val="0"/>
              <w:adjustRightInd w:val="0"/>
              <w:rPr>
                <w:rFonts w:cs="Calibri"/>
                <w:color w:val="221E1F"/>
              </w:rPr>
            </w:pPr>
            <w:r w:rsidRPr="00BE11B6">
              <w:rPr>
                <w:rFonts w:cs="Calibri"/>
                <w:color w:val="221E1F"/>
              </w:rPr>
              <w:t xml:space="preserve">The </w:t>
            </w:r>
            <w:r w:rsidRPr="00BE11B6">
              <w:rPr>
                <w:rFonts w:cs="Calibri-Italic"/>
                <w:i/>
                <w:iCs/>
                <w:color w:val="221E1F"/>
              </w:rPr>
              <w:t xml:space="preserve">Environments For Living </w:t>
            </w:r>
            <w:r w:rsidRPr="00BE11B6">
              <w:rPr>
                <w:rFonts w:cs="Calibri"/>
                <w:color w:val="221E1F"/>
              </w:rPr>
              <w:t xml:space="preserve">program provides two limited guarantees: heating and cooling energy use and comfort. Energy use refers to the estimated annual amount of energy needed to heat and cool a home. As described more fully in the guarantee, if actual use exceeds the estimated amount, the homeowner is refunded 100% of the cost difference. The comfort guarantee promises that the temperature at the location of the thermostat will not vary more than 3 degrees +/‐ from the center of </w:t>
            </w:r>
            <w:r w:rsidRPr="00BE11B6">
              <w:rPr>
                <w:rFonts w:cs="Calibri"/>
                <w:color w:val="221E1F"/>
              </w:rPr>
              <w:lastRenderedPageBreak/>
              <w:t xml:space="preserve">any conditioned room for that zone. </w:t>
            </w:r>
            <w:r w:rsidRPr="00BE11B6">
              <w:rPr>
                <w:rFonts w:cs="Calibri-Italic"/>
                <w:i/>
                <w:iCs/>
                <w:color w:val="221E1F"/>
              </w:rPr>
              <w:t>(*Please see the full guarantee for complete details and limitations.)</w:t>
            </w:r>
          </w:p>
        </w:tc>
      </w:tr>
      <w:tr w:rsidR="00A35153" w:rsidRPr="00BE11B6" w:rsidTr="00A35153">
        <w:trPr>
          <w:jc w:val="center"/>
        </w:trPr>
        <w:tc>
          <w:tcPr>
            <w:tcW w:w="1728" w:type="dxa"/>
          </w:tcPr>
          <w:p w:rsidR="00A35153" w:rsidRPr="00BE11B6" w:rsidRDefault="00A35153" w:rsidP="00A35153">
            <w:r w:rsidRPr="00BE11B6">
              <w:rPr>
                <w:b/>
              </w:rPr>
              <w:lastRenderedPageBreak/>
              <w:t>Major</w:t>
            </w:r>
            <w:r w:rsidRPr="00BE11B6">
              <w:t xml:space="preserve"> </w:t>
            </w:r>
            <w:r w:rsidRPr="00BE11B6">
              <w:rPr>
                <w:b/>
              </w:rPr>
              <w:t>Sponsors</w:t>
            </w:r>
          </w:p>
        </w:tc>
        <w:tc>
          <w:tcPr>
            <w:tcW w:w="7848" w:type="dxa"/>
          </w:tcPr>
          <w:p w:rsidR="00A35153" w:rsidRPr="00BE11B6" w:rsidRDefault="007B78F7" w:rsidP="00A35153">
            <w:r w:rsidRPr="00BE11B6">
              <w:t>GE, Owens Corning, Lennox, BASF</w:t>
            </w:r>
          </w:p>
        </w:tc>
      </w:tr>
      <w:tr w:rsidR="00A35153" w:rsidRPr="00BE11B6" w:rsidTr="00A35153">
        <w:trPr>
          <w:jc w:val="center"/>
        </w:trPr>
        <w:tc>
          <w:tcPr>
            <w:tcW w:w="1728" w:type="dxa"/>
          </w:tcPr>
          <w:p w:rsidR="00A35153" w:rsidRPr="00BE11B6" w:rsidRDefault="00A35153" w:rsidP="00A35153">
            <w:r w:rsidRPr="00BE11B6">
              <w:rPr>
                <w:b/>
              </w:rPr>
              <w:t>Optional</w:t>
            </w:r>
            <w:r w:rsidRPr="00BE11B6">
              <w:t xml:space="preserve"> </w:t>
            </w:r>
            <w:r w:rsidRPr="00BE11B6">
              <w:rPr>
                <w:b/>
              </w:rPr>
              <w:t>Program</w:t>
            </w:r>
          </w:p>
        </w:tc>
        <w:tc>
          <w:tcPr>
            <w:tcW w:w="7848" w:type="dxa"/>
          </w:tcPr>
          <w:p w:rsidR="00A35153" w:rsidRPr="00BE11B6" w:rsidRDefault="007B78F7" w:rsidP="007B78F7">
            <w:pPr>
              <w:autoSpaceDE w:val="0"/>
              <w:autoSpaceDN w:val="0"/>
              <w:adjustRightInd w:val="0"/>
              <w:rPr>
                <w:rFonts w:cs="Calibri"/>
                <w:color w:val="221E1F"/>
              </w:rPr>
            </w:pPr>
            <w:r w:rsidRPr="00BE11B6">
              <w:rPr>
                <w:rFonts w:cs="Calibri"/>
                <w:color w:val="221E1F"/>
              </w:rPr>
              <w:t xml:space="preserve">The ecomagination Homebuilder Program™ – a collaboration of GE and TopBuild Home Services – is an option under the </w:t>
            </w:r>
            <w:r w:rsidRPr="00BE11B6">
              <w:rPr>
                <w:rFonts w:cs="Calibri-Italic"/>
                <w:i/>
                <w:iCs/>
                <w:color w:val="221E1F"/>
              </w:rPr>
              <w:t xml:space="preserve">Environments For Living Certified Green® </w:t>
            </w:r>
            <w:r w:rsidRPr="00BE11B6">
              <w:rPr>
                <w:rFonts w:cs="Calibri"/>
                <w:color w:val="221E1F"/>
              </w:rPr>
              <w:t>program. Included in the ecomagination Homebuilder Program is a monitoring dashboard that enables homeowners to track their emissions, water and energy savings, and more. The ecomagination Homebuilder Program provides builders with additional marketing materials to leverage the power of the GE brand.</w:t>
            </w:r>
          </w:p>
        </w:tc>
      </w:tr>
      <w:tr w:rsidR="00A35153" w:rsidRPr="00BE11B6" w:rsidTr="00A35153">
        <w:trPr>
          <w:jc w:val="center"/>
        </w:trPr>
        <w:tc>
          <w:tcPr>
            <w:tcW w:w="1728" w:type="dxa"/>
          </w:tcPr>
          <w:p w:rsidR="00A35153" w:rsidRPr="00BE11B6" w:rsidRDefault="00A35153" w:rsidP="00A35153">
            <w:r w:rsidRPr="00BE11B6">
              <w:rPr>
                <w:b/>
              </w:rPr>
              <w:t>Participating</w:t>
            </w:r>
            <w:r w:rsidRPr="00BE11B6">
              <w:t xml:space="preserve"> </w:t>
            </w:r>
            <w:r w:rsidRPr="00BE11B6">
              <w:rPr>
                <w:b/>
              </w:rPr>
              <w:t>Builders</w:t>
            </w:r>
          </w:p>
        </w:tc>
        <w:tc>
          <w:tcPr>
            <w:tcW w:w="7848" w:type="dxa"/>
          </w:tcPr>
          <w:p w:rsidR="00A35153" w:rsidRPr="00BE11B6" w:rsidRDefault="007B78F7" w:rsidP="007B78F7">
            <w:pPr>
              <w:autoSpaceDE w:val="0"/>
              <w:autoSpaceDN w:val="0"/>
              <w:adjustRightInd w:val="0"/>
              <w:rPr>
                <w:rFonts w:cs="Calibri"/>
                <w:color w:val="221E1F"/>
              </w:rPr>
            </w:pPr>
            <w:r w:rsidRPr="00BE11B6">
              <w:rPr>
                <w:rFonts w:cs="Calibri"/>
                <w:color w:val="221E1F"/>
              </w:rPr>
              <w:t xml:space="preserve">The </w:t>
            </w:r>
            <w:r w:rsidRPr="00BE11B6">
              <w:rPr>
                <w:rFonts w:cs="Calibri-Italic"/>
                <w:i/>
                <w:iCs/>
                <w:color w:val="221E1F"/>
              </w:rPr>
              <w:t xml:space="preserve">Environments For Living </w:t>
            </w:r>
            <w:r w:rsidRPr="00BE11B6">
              <w:rPr>
                <w:rFonts w:cs="Calibri"/>
                <w:color w:val="221E1F"/>
              </w:rPr>
              <w:t xml:space="preserve">program and </w:t>
            </w:r>
            <w:r w:rsidRPr="00BE11B6">
              <w:rPr>
                <w:rFonts w:cs="Calibri-Italic"/>
                <w:i/>
                <w:iCs/>
                <w:color w:val="221E1F"/>
              </w:rPr>
              <w:t xml:space="preserve">Environments For Living Certified Green </w:t>
            </w:r>
            <w:r w:rsidRPr="00BE11B6">
              <w:rPr>
                <w:rFonts w:cs="Calibri"/>
                <w:color w:val="221E1F"/>
              </w:rPr>
              <w:t xml:space="preserve">program are offered by regional and national builders and custom builders. Participating builders have included Ashton Woods, Beazer Homes, Del Webb, David </w:t>
            </w:r>
            <w:proofErr w:type="spellStart"/>
            <w:r w:rsidRPr="00BE11B6">
              <w:rPr>
                <w:rFonts w:cs="Calibri"/>
                <w:color w:val="221E1F"/>
              </w:rPr>
              <w:t>Weekley</w:t>
            </w:r>
            <w:proofErr w:type="spellEnd"/>
            <w:r w:rsidRPr="00BE11B6">
              <w:rPr>
                <w:rFonts w:cs="Calibri"/>
                <w:color w:val="221E1F"/>
              </w:rPr>
              <w:t xml:space="preserve">, D.R. Horton, Lennar Homes, Pulte Homes, Ryland Homes and </w:t>
            </w:r>
            <w:proofErr w:type="spellStart"/>
            <w:r w:rsidRPr="00BE11B6">
              <w:rPr>
                <w:rFonts w:cs="Calibri"/>
                <w:color w:val="221E1F"/>
              </w:rPr>
              <w:t>Shea</w:t>
            </w:r>
            <w:proofErr w:type="spellEnd"/>
            <w:r w:rsidRPr="00BE11B6">
              <w:rPr>
                <w:rFonts w:cs="Calibri"/>
                <w:color w:val="221E1F"/>
              </w:rPr>
              <w:t xml:space="preserve"> Homes.</w:t>
            </w:r>
          </w:p>
        </w:tc>
      </w:tr>
      <w:tr w:rsidR="00A35153" w:rsidRPr="00BE11B6" w:rsidTr="00A35153">
        <w:trPr>
          <w:jc w:val="center"/>
        </w:trPr>
        <w:tc>
          <w:tcPr>
            <w:tcW w:w="1728" w:type="dxa"/>
          </w:tcPr>
          <w:p w:rsidR="00A35153" w:rsidRPr="00BE11B6" w:rsidRDefault="00A35153" w:rsidP="00A35153">
            <w:r w:rsidRPr="00BE11B6">
              <w:rPr>
                <w:b/>
              </w:rPr>
              <w:t>Program</w:t>
            </w:r>
            <w:r w:rsidRPr="00BE11B6">
              <w:t xml:space="preserve"> </w:t>
            </w:r>
            <w:r w:rsidRPr="00BE11B6">
              <w:rPr>
                <w:b/>
              </w:rPr>
              <w:t>Management</w:t>
            </w:r>
          </w:p>
        </w:tc>
        <w:tc>
          <w:tcPr>
            <w:tcW w:w="7848" w:type="dxa"/>
          </w:tcPr>
          <w:p w:rsidR="00A35153" w:rsidRPr="00BE11B6" w:rsidRDefault="007B78F7" w:rsidP="00A35153">
            <w:r w:rsidRPr="00BE11B6">
              <w:t>Dave Bell, VP of Building Science</w:t>
            </w:r>
          </w:p>
          <w:p w:rsidR="007B78F7" w:rsidRPr="00BE11B6" w:rsidRDefault="007B78F7" w:rsidP="00A35153">
            <w:proofErr w:type="spellStart"/>
            <w:r w:rsidRPr="00BE11B6">
              <w:t>TopBuild</w:t>
            </w:r>
            <w:proofErr w:type="spellEnd"/>
            <w:r w:rsidRPr="00BE11B6">
              <w:t xml:space="preserve"> Home Services</w:t>
            </w:r>
            <w:r w:rsidRPr="00BE11B6">
              <w:br/>
            </w:r>
            <w:r w:rsidR="00FD5077" w:rsidRPr="00FD5077">
              <w:t>475 N Williamson Blvd.</w:t>
            </w:r>
          </w:p>
          <w:p w:rsidR="00BE11B6" w:rsidRPr="00BE11B6" w:rsidRDefault="00BE11B6" w:rsidP="00A35153">
            <w:r w:rsidRPr="00BE11B6">
              <w:t>Daytona Beach, FL 32114</w:t>
            </w:r>
          </w:p>
          <w:p w:rsidR="00BE11B6" w:rsidRPr="00BE11B6" w:rsidRDefault="00BE11B6" w:rsidP="00A35153">
            <w:r w:rsidRPr="00BE11B6">
              <w:t>386-763-4955 main</w:t>
            </w:r>
          </w:p>
          <w:p w:rsidR="00BE11B6" w:rsidRPr="00BE11B6" w:rsidRDefault="00BE11B6" w:rsidP="00A35153">
            <w:r w:rsidRPr="00BE11B6">
              <w:t>386-304-2313 fax</w:t>
            </w:r>
          </w:p>
          <w:p w:rsidR="00BE11B6" w:rsidRPr="00BE11B6" w:rsidRDefault="00BE11B6" w:rsidP="00A35153">
            <w:r w:rsidRPr="00BE11B6">
              <w:t>Toll Free: 1-866-912-7233</w:t>
            </w:r>
          </w:p>
        </w:tc>
      </w:tr>
      <w:tr w:rsidR="00A35153" w:rsidRPr="00BE11B6" w:rsidTr="00A35153">
        <w:trPr>
          <w:jc w:val="center"/>
        </w:trPr>
        <w:tc>
          <w:tcPr>
            <w:tcW w:w="1728" w:type="dxa"/>
          </w:tcPr>
          <w:p w:rsidR="00A35153" w:rsidRPr="00BE11B6" w:rsidRDefault="00A35153" w:rsidP="00A35153">
            <w:pPr>
              <w:rPr>
                <w:b/>
              </w:rPr>
            </w:pPr>
            <w:r w:rsidRPr="00BE11B6">
              <w:rPr>
                <w:b/>
              </w:rPr>
              <w:t>Website</w:t>
            </w:r>
          </w:p>
        </w:tc>
        <w:tc>
          <w:tcPr>
            <w:tcW w:w="7848" w:type="dxa"/>
          </w:tcPr>
          <w:p w:rsidR="00A35153" w:rsidRPr="00BE11B6" w:rsidRDefault="00CA709B" w:rsidP="00A35153">
            <w:hyperlink r:id="rId5" w:history="1">
              <w:r w:rsidR="00BE11B6" w:rsidRPr="00BE11B6">
                <w:rPr>
                  <w:rStyle w:val="Hyperlink"/>
                </w:rPr>
                <w:t>www.environmentsforliving.com</w:t>
              </w:r>
            </w:hyperlink>
          </w:p>
        </w:tc>
      </w:tr>
      <w:tr w:rsidR="00A35153" w:rsidRPr="00BE11B6" w:rsidTr="00A35153">
        <w:trPr>
          <w:jc w:val="center"/>
        </w:trPr>
        <w:tc>
          <w:tcPr>
            <w:tcW w:w="1728" w:type="dxa"/>
          </w:tcPr>
          <w:p w:rsidR="00A35153" w:rsidRPr="00BE11B6" w:rsidRDefault="00A35153" w:rsidP="00A35153">
            <w:r w:rsidRPr="00BE11B6">
              <w:rPr>
                <w:b/>
              </w:rPr>
              <w:t>PR</w:t>
            </w:r>
            <w:r w:rsidRPr="00BE11B6">
              <w:t xml:space="preserve"> </w:t>
            </w:r>
            <w:r w:rsidRPr="00BE11B6">
              <w:rPr>
                <w:b/>
              </w:rPr>
              <w:t>Contact</w:t>
            </w:r>
          </w:p>
        </w:tc>
        <w:tc>
          <w:tcPr>
            <w:tcW w:w="7848" w:type="dxa"/>
          </w:tcPr>
          <w:p w:rsidR="00A35153" w:rsidRPr="00BE11B6" w:rsidRDefault="00BE11B6" w:rsidP="00A35153">
            <w:r w:rsidRPr="00BE11B6">
              <w:t>Philip Hathorn</w:t>
            </w:r>
          </w:p>
          <w:p w:rsidR="00BE11B6" w:rsidRPr="00BE11B6" w:rsidRDefault="00BE11B6" w:rsidP="00A35153">
            <w:r w:rsidRPr="00BE11B6">
              <w:t>TopBuild Corp.</w:t>
            </w:r>
            <w:bookmarkStart w:id="0" w:name="_GoBack"/>
            <w:bookmarkEnd w:id="0"/>
          </w:p>
          <w:p w:rsidR="00BE11B6" w:rsidRPr="00BE11B6" w:rsidRDefault="00FD5077" w:rsidP="00A35153">
            <w:r w:rsidRPr="00FD5077">
              <w:t>475 N Williamson Blvd.</w:t>
            </w:r>
          </w:p>
          <w:p w:rsidR="00BE11B6" w:rsidRPr="00BE11B6" w:rsidRDefault="00BE11B6" w:rsidP="00A35153">
            <w:r w:rsidRPr="00BE11B6">
              <w:t>Daytona Beach, FL 32114</w:t>
            </w:r>
          </w:p>
          <w:p w:rsidR="00BE11B6" w:rsidRPr="00BE11B6" w:rsidRDefault="00BE11B6" w:rsidP="00A35153">
            <w:r w:rsidRPr="00BE11B6">
              <w:t>386-763-2820 main</w:t>
            </w:r>
          </w:p>
        </w:tc>
      </w:tr>
    </w:tbl>
    <w:p w:rsidR="00A35153" w:rsidRDefault="00A35153" w:rsidP="00A35153">
      <w:pPr>
        <w:jc w:val="center"/>
      </w:pPr>
    </w:p>
    <w:sectPr w:rsidR="00A35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BoldItalic">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153"/>
    <w:rsid w:val="00103F96"/>
    <w:rsid w:val="007B78F7"/>
    <w:rsid w:val="00A35153"/>
    <w:rsid w:val="00BE11B6"/>
    <w:rsid w:val="00CA709B"/>
    <w:rsid w:val="00D71BF9"/>
    <w:rsid w:val="00FD5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5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11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5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11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nvironmentsforliv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MCS</Company>
  <LinksUpToDate>false</LinksUpToDate>
  <CharactersWithSpaces>4465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Hernandez - Home Office</dc:creator>
  <cp:lastModifiedBy>Roman Petryshyn</cp:lastModifiedBy>
  <cp:revision>2</cp:revision>
  <dcterms:created xsi:type="dcterms:W3CDTF">2017-01-25T14:00:00Z</dcterms:created>
  <dcterms:modified xsi:type="dcterms:W3CDTF">2017-01-25T14:00:00Z</dcterms:modified>
</cp:coreProperties>
</file>